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96" w:rsidRDefault="00E9149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 w:rsidSect="004068CC">
          <w:pgSz w:w="12240" w:h="15840"/>
          <w:pgMar w:top="568" w:right="1417" w:bottom="1417" w:left="1417" w:header="708" w:footer="708" w:gutter="0"/>
          <w:cols w:space="708"/>
          <w:noEndnote/>
        </w:sectPr>
      </w:pPr>
    </w:p>
    <w:p w:rsidR="00E91496" w:rsidRDefault="00E91496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4</w:t>
      </w: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E91496" w:rsidRDefault="00E91496">
      <w:pPr>
        <w:jc w:val="center"/>
        <w:rPr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Podľa tradície pustatina, na ktorej sa Ježiš postil, bola: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Kvarantánia</w:t>
      </w:r>
      <w:proofErr w:type="spellEnd"/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Sahara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severozápadne od Jericha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Dekapol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>“ bol: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zväz desiatich miest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väčšinou helénske a</w:t>
      </w:r>
      <w:r w:rsidR="004068CC">
        <w:rPr>
          <w:rFonts w:eastAsia="SimSun"/>
          <w:sz w:val="24"/>
          <w:szCs w:val="24"/>
          <w:lang w:eastAsia="zh-CN"/>
        </w:rPr>
        <w:t xml:space="preserve"> pohansk</w:t>
      </w:r>
      <w:r>
        <w:rPr>
          <w:rFonts w:eastAsia="SimSun"/>
          <w:sz w:val="24"/>
          <w:szCs w:val="24"/>
          <w:lang w:eastAsia="zh-CN"/>
        </w:rPr>
        <w:t>é mestá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južne a</w:t>
      </w:r>
      <w:r w:rsidR="004068CC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juhovýchodne od </w:t>
      </w:r>
      <w:proofErr w:type="spellStart"/>
      <w:r>
        <w:rPr>
          <w:rFonts w:eastAsia="SimSun"/>
          <w:sz w:val="24"/>
          <w:szCs w:val="24"/>
          <w:lang w:eastAsia="zh-CN"/>
        </w:rPr>
        <w:t>Genezaretského</w:t>
      </w:r>
      <w:proofErr w:type="spellEnd"/>
      <w:r>
        <w:rPr>
          <w:rFonts w:eastAsia="SimSun"/>
          <w:sz w:val="24"/>
          <w:szCs w:val="24"/>
          <w:lang w:eastAsia="zh-CN"/>
        </w:rPr>
        <w:t xml:space="preserve"> jazera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„Sväté mesto“ je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Rím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Kafarnaum</w:t>
      </w:r>
      <w:proofErr w:type="spellEnd"/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Jeruzalem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Duch vyviedol Ježiša na púšť. Bol to duch: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sveta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Svätý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zlý</w:t>
      </w:r>
    </w:p>
    <w:p w:rsidR="00E91496" w:rsidRDefault="00E91496">
      <w:pPr>
        <w:spacing w:after="0" w:line="360" w:lineRule="auto"/>
        <w:rPr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nasledovalo po tom, ako Ježiš odmietol diablovo pokúšanie?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diabol opustil Ježiša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prišli anjeli a</w:t>
      </w:r>
      <w:r w:rsidR="004068CC">
        <w:rPr>
          <w:rFonts w:eastAsia="SimSun"/>
          <w:sz w:val="24"/>
          <w:szCs w:val="24"/>
          <w:lang w:eastAsia="zh-CN"/>
        </w:rPr>
        <w:t xml:space="preserve"> posluhovali </w:t>
      </w:r>
      <w:r>
        <w:rPr>
          <w:rFonts w:eastAsia="SimSun"/>
          <w:sz w:val="24"/>
          <w:szCs w:val="24"/>
          <w:lang w:eastAsia="zh-CN"/>
        </w:rPr>
        <w:t>Ježišovi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Ježiš odišiel do Judey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dlho sa Ježiš postil?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40 dní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40 dní a</w:t>
      </w:r>
      <w:r w:rsidR="004068CC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40 nocí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50 nocí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začal hlásať Ježiš po návrate do Galiley?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„Kaja</w:t>
      </w:r>
      <w:r w:rsidR="004068CC">
        <w:rPr>
          <w:rFonts w:eastAsia="SimSun"/>
          <w:sz w:val="24"/>
          <w:szCs w:val="24"/>
          <w:lang w:eastAsia="zh-CN"/>
        </w:rPr>
        <w:t>j</w:t>
      </w:r>
      <w:r>
        <w:rPr>
          <w:rFonts w:eastAsia="SimSun"/>
          <w:sz w:val="24"/>
          <w:szCs w:val="24"/>
          <w:lang w:eastAsia="zh-CN"/>
        </w:rPr>
        <w:t>te sa a</w:t>
      </w:r>
      <w:r w:rsidR="004068CC">
        <w:rPr>
          <w:rFonts w:eastAsia="SimSun"/>
          <w:sz w:val="24"/>
          <w:szCs w:val="24"/>
          <w:lang w:eastAsia="zh-CN"/>
        </w:rPr>
        <w:t xml:space="preserve"> verte </w:t>
      </w:r>
      <w:r>
        <w:rPr>
          <w:rFonts w:eastAsia="SimSun"/>
          <w:sz w:val="24"/>
          <w:szCs w:val="24"/>
          <w:lang w:eastAsia="zh-CN"/>
        </w:rPr>
        <w:t>evanjeliu, lebo sa priblížilo nebeské kráľovstvo.“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„Robte pokánie, lebo sa priblížilo Božie kráľovstvo.“</w:t>
      </w: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„Robte pokánie, lebo sa priblížilo nebeské kráľovstvo.“</w:t>
      </w:r>
    </w:p>
    <w:p w:rsidR="00E91496" w:rsidRDefault="00E91496">
      <w:pPr>
        <w:widowControl/>
        <w:spacing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Prečo Ježiš dovolil, aby ho diabol pokúšal?</w:t>
      </w:r>
    </w:p>
    <w:p w:rsidR="00E91496" w:rsidRDefault="00E91496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leží „Galilea pohanov“?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spacing w:after="0" w:line="240" w:lineRule="auto"/>
        <w:rPr>
          <w:rFonts w:eastAsia="SimSun"/>
          <w:b/>
          <w:bCs/>
          <w:color w:val="94102C"/>
          <w:sz w:val="28"/>
          <w:szCs w:val="28"/>
          <w:lang w:eastAsia="zh-CN"/>
        </w:rPr>
      </w:pPr>
      <w:r>
        <w:rPr>
          <w:rFonts w:eastAsia="SimSun"/>
          <w:b/>
          <w:bCs/>
          <w:color w:val="94102C"/>
          <w:sz w:val="28"/>
          <w:szCs w:val="28"/>
          <w:lang w:eastAsia="zh-CN"/>
        </w:rPr>
        <w:t>2. Kto som?</w:t>
      </w:r>
    </w:p>
    <w:p w:rsidR="00E91496" w:rsidRDefault="00E91496">
      <w:pPr>
        <w:widowControl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Opravovali sme siete na lodi, keď sme uvideli Ježiša.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Som rybárom, spúšťam sieť do mora, mám brata Šimona, budem rybárom ľudí.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Chodím po celej Galiley, hlásam slovo Božie a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vylie</w:t>
      </w:r>
      <w:r>
        <w:rPr>
          <w:rFonts w:eastAsia="SimSun"/>
          <w:b/>
          <w:bCs/>
          <w:sz w:val="24"/>
          <w:szCs w:val="24"/>
          <w:lang w:eastAsia="zh-CN"/>
        </w:rPr>
        <w:t>čim každú chorobu a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tr</w:t>
      </w:r>
      <w:r>
        <w:rPr>
          <w:rFonts w:eastAsia="SimSun"/>
          <w:b/>
          <w:bCs/>
          <w:sz w:val="24"/>
          <w:szCs w:val="24"/>
          <w:lang w:eastAsia="zh-CN"/>
        </w:rPr>
        <w:t>ápenie.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Moji synovia ma zanechali na lodi a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odi</w:t>
      </w:r>
      <w:r>
        <w:rPr>
          <w:rFonts w:eastAsia="SimSun"/>
          <w:b/>
          <w:bCs/>
          <w:sz w:val="24"/>
          <w:szCs w:val="24"/>
          <w:lang w:eastAsia="zh-CN"/>
        </w:rPr>
        <w:t>šli za Ježišom</w:t>
      </w:r>
      <w:r>
        <w:rPr>
          <w:rFonts w:eastAsia="SimSun"/>
          <w:sz w:val="24"/>
          <w:szCs w:val="24"/>
          <w:lang w:eastAsia="zh-CN"/>
        </w:rPr>
        <w:t>.</w:t>
      </w:r>
    </w:p>
    <w:p w:rsidR="00E91496" w:rsidRDefault="00E91496">
      <w:pPr>
        <w:spacing w:after="0" w:line="360" w:lineRule="auto"/>
        <w:rPr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068CC" w:rsidRDefault="004068C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068CC" w:rsidRDefault="004068C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068CC" w:rsidRDefault="004068C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068CC" w:rsidRDefault="004068C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068CC" w:rsidRDefault="004068C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E91496" w:rsidRDefault="00E91496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9149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91496" w:rsidRDefault="00E91496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bookmarkStart w:id="0" w:name="_GoBack"/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3. Doplň tabuľku priamou rečou:</w:t>
      </w:r>
    </w:p>
    <w:bookmarkEnd w:id="0"/>
    <w:p w:rsidR="00E91496" w:rsidRDefault="00E91496">
      <w:pPr>
        <w:spacing w:line="240" w:lineRule="auto"/>
        <w:rPr>
          <w:rFonts w:eastAsia="SimSun"/>
          <w:lang w:eastAsia="zh-C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4068CC" w:rsidRPr="004068CC" w:rsidTr="00056263">
        <w:trPr>
          <w:trHeight w:val="470"/>
        </w:trPr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Satanovo pokúšanie</w:t>
            </w: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Ježišova reakcia</w:t>
            </w:r>
          </w:p>
        </w:tc>
      </w:tr>
      <w:tr w:rsidR="004068CC" w:rsidRPr="004068CC" w:rsidTr="00056263">
        <w:trPr>
          <w:trHeight w:val="2306"/>
        </w:trPr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1. pokúšanie</w:t>
            </w: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068CC" w:rsidRPr="004068CC" w:rsidTr="00056263">
        <w:trPr>
          <w:trHeight w:val="2306"/>
        </w:trPr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2. pokúšanie</w:t>
            </w: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4068CC" w:rsidRPr="004068CC" w:rsidTr="00056263">
        <w:trPr>
          <w:trHeight w:val="2306"/>
        </w:trPr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>3. pokúšanie</w:t>
            </w: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C26685"/>
              <w:left w:val="single" w:sz="8" w:space="0" w:color="C26685"/>
              <w:bottom w:val="single" w:sz="8" w:space="0" w:color="C26685"/>
              <w:right w:val="single" w:sz="8" w:space="0" w:color="C26685"/>
            </w:tcBorders>
            <w:vAlign w:val="center"/>
          </w:tcPr>
          <w:p w:rsidR="004068CC" w:rsidRPr="004068CC" w:rsidRDefault="004068CC" w:rsidP="00056263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E91496" w:rsidRDefault="00E91496">
      <w:pPr>
        <w:spacing w:after="0" w:line="240" w:lineRule="auto"/>
        <w:rPr>
          <w:rFonts w:eastAsia="SimSun"/>
          <w:lang w:eastAsia="zh-CN"/>
        </w:rPr>
      </w:pPr>
    </w:p>
    <w:p w:rsidR="00E91496" w:rsidRDefault="00E91496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E91496" w:rsidRDefault="00E91496">
      <w:pPr>
        <w:pStyle w:val="Obsahtabuky"/>
        <w:widowControl/>
        <w:spacing w:line="240" w:lineRule="auto"/>
        <w:rPr>
          <w:rFonts w:eastAsia="SimSun"/>
          <w:color w:val="730026"/>
          <w:sz w:val="20"/>
          <w:szCs w:val="20"/>
          <w:lang w:eastAsia="zh-CN"/>
        </w:rPr>
      </w:pPr>
    </w:p>
    <w:p w:rsidR="00E91496" w:rsidRDefault="00E91496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Uveď knihu Starého zákona k citátom:</w:t>
      </w:r>
    </w:p>
    <w:p w:rsidR="00E91496" w:rsidRDefault="00E91496">
      <w:pPr>
        <w:widowControl/>
        <w:spacing w:line="240" w:lineRule="auto"/>
        <w:jc w:val="both"/>
        <w:rPr>
          <w:rFonts w:eastAsia="SimSun"/>
          <w:sz w:val="12"/>
          <w:szCs w:val="12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„Nielen z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 chleba </w:t>
      </w:r>
      <w:r>
        <w:rPr>
          <w:rFonts w:eastAsia="SimSun"/>
          <w:b/>
          <w:bCs/>
          <w:sz w:val="24"/>
          <w:szCs w:val="24"/>
          <w:lang w:eastAsia="zh-CN"/>
        </w:rPr>
        <w:t>žije človek, ale z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ka</w:t>
      </w:r>
      <w:r>
        <w:rPr>
          <w:rFonts w:eastAsia="SimSun"/>
          <w:b/>
          <w:bCs/>
          <w:sz w:val="24"/>
          <w:szCs w:val="24"/>
          <w:lang w:eastAsia="zh-CN"/>
        </w:rPr>
        <w:t>ždého slova, ktoré vychádza z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 Božích </w:t>
      </w:r>
      <w:r>
        <w:rPr>
          <w:rFonts w:eastAsia="SimSun"/>
          <w:b/>
          <w:bCs/>
          <w:sz w:val="24"/>
          <w:szCs w:val="24"/>
          <w:lang w:eastAsia="zh-CN"/>
        </w:rPr>
        <w:t>úst.“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„Svojim anjelom dá príkaz o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tebe a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vezm</w:t>
      </w:r>
      <w:r>
        <w:rPr>
          <w:rFonts w:eastAsia="SimSun"/>
          <w:b/>
          <w:bCs/>
          <w:sz w:val="24"/>
          <w:szCs w:val="24"/>
          <w:lang w:eastAsia="zh-CN"/>
        </w:rPr>
        <w:t>ú ťa na ruky, aby si si neuderil nohu o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kameň.“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„Nebudeš pokúšať Pána, svojho Boha.“</w:t>
      </w:r>
    </w:p>
    <w:p w:rsidR="00E91496" w:rsidRDefault="00E91496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E91496" w:rsidRDefault="00E91496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„Pánovi, svojmu Bohu sa budeš klaňať a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jemu budeš slúžiť.“</w:t>
      </w:r>
    </w:p>
    <w:p w:rsidR="00E91496" w:rsidRDefault="00E91496">
      <w:pPr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E91496" w:rsidRPr="004068CC" w:rsidRDefault="00E91496" w:rsidP="004068CC">
      <w:pPr>
        <w:widowControl/>
        <w:tabs>
          <w:tab w:val="left" w:pos="51"/>
        </w:tabs>
        <w:spacing w:after="0" w:line="360" w:lineRule="auto"/>
        <w:ind w:left="154" w:hanging="154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 „Ľud bývajúci v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 temnot</w:t>
      </w:r>
      <w:r>
        <w:rPr>
          <w:rFonts w:eastAsia="SimSun"/>
          <w:b/>
          <w:bCs/>
          <w:sz w:val="24"/>
          <w:szCs w:val="24"/>
          <w:lang w:eastAsia="zh-CN"/>
        </w:rPr>
        <w:t>ách uvidel veľké svetlo. Svetlo zažiarilo tým, čo sedeli v</w:t>
      </w:r>
      <w:r w:rsidR="004068CC">
        <w:rPr>
          <w:rFonts w:eastAsia="SimSun"/>
          <w:b/>
          <w:bCs/>
          <w:sz w:val="24"/>
          <w:szCs w:val="24"/>
          <w:lang w:eastAsia="zh-CN"/>
        </w:rPr>
        <w:t xml:space="preserve"> temnom </w:t>
      </w:r>
      <w:r>
        <w:rPr>
          <w:rFonts w:eastAsia="SimSun"/>
          <w:b/>
          <w:bCs/>
          <w:sz w:val="24"/>
          <w:szCs w:val="24"/>
          <w:lang w:eastAsia="zh-CN"/>
        </w:rPr>
        <w:t>kraji   smrti.“</w:t>
      </w:r>
    </w:p>
    <w:sectPr w:rsidR="00E91496" w:rsidRPr="004068CC" w:rsidSect="004068CC">
      <w:type w:val="continuous"/>
      <w:pgSz w:w="12240" w:h="15840"/>
      <w:pgMar w:top="993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496"/>
    <w:rsid w:val="001D68D1"/>
    <w:rsid w:val="004068CC"/>
    <w:rsid w:val="00E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52BB80-8417-4DE0-8788-3C6D7E79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9149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E91496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2019-02-20T15:18:00Z</dcterms:created>
  <dcterms:modified xsi:type="dcterms:W3CDTF">2019-02-20T15:28:00Z</dcterms:modified>
</cp:coreProperties>
</file>